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DB" w:rsidRPr="00EE23C3" w:rsidRDefault="00746E06" w:rsidP="00EE23C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52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DB" w:rsidRPr="00EE23C3" w:rsidRDefault="008322DB" w:rsidP="00EE23C3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322DB" w:rsidRPr="00EE23C3" w:rsidRDefault="008322DB" w:rsidP="00EE23C3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8322DB" w:rsidRPr="00EE23C3" w:rsidRDefault="00746E06" w:rsidP="00EE23C3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ЛИПОВСКОГО</w:t>
      </w:r>
      <w:r w:rsidR="008322DB" w:rsidRPr="00EE23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322DB" w:rsidRPr="00EE23C3" w:rsidRDefault="008322DB" w:rsidP="00EE23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8322DB" w:rsidRPr="00EE23C3" w:rsidRDefault="008322DB" w:rsidP="00EE23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22DB" w:rsidRPr="00EE23C3" w:rsidRDefault="008322DB" w:rsidP="00EE23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322DB" w:rsidRPr="00EE23C3" w:rsidRDefault="008322DB" w:rsidP="00EE23C3">
      <w:pPr>
        <w:spacing w:after="0"/>
        <w:rPr>
          <w:b/>
          <w:lang w:eastAsia="ru-RU"/>
        </w:rPr>
      </w:pPr>
    </w:p>
    <w:p w:rsidR="008322DB" w:rsidRPr="00EE23C3" w:rsidRDefault="008322DB" w:rsidP="00EE23C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23C3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EE23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46E0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EE23C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82F96">
        <w:rPr>
          <w:rFonts w:ascii="Times New Roman" w:hAnsi="Times New Roman"/>
          <w:sz w:val="28"/>
          <w:szCs w:val="28"/>
          <w:lang w:eastAsia="ru-RU"/>
        </w:rPr>
        <w:t>года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746E06">
        <w:rPr>
          <w:rFonts w:ascii="Times New Roman" w:hAnsi="Times New Roman"/>
          <w:sz w:val="28"/>
          <w:szCs w:val="28"/>
          <w:lang w:eastAsia="ru-RU"/>
        </w:rPr>
        <w:t>1</w:t>
      </w:r>
    </w:p>
    <w:p w:rsidR="008322DB" w:rsidRPr="00EE23C3" w:rsidRDefault="008322DB" w:rsidP="00EE23C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322DB" w:rsidRPr="00B50676" w:rsidRDefault="008322DB" w:rsidP="00B5067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76">
        <w:rPr>
          <w:rFonts w:ascii="Times New Roman" w:hAnsi="Times New Roman"/>
          <w:sz w:val="28"/>
          <w:szCs w:val="28"/>
          <w:lang w:eastAsia="ru-RU"/>
        </w:rPr>
        <w:t xml:space="preserve">О налоге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имущество физических лиц 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</w:p>
    <w:p w:rsidR="008322DB" w:rsidRPr="00EE23C3" w:rsidRDefault="008322DB" w:rsidP="00EE23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30"/>
          <w:lang w:eastAsia="ru-RU"/>
        </w:rPr>
      </w:pPr>
    </w:p>
    <w:p w:rsidR="008322DB" w:rsidRPr="00EE23C3" w:rsidRDefault="008322DB" w:rsidP="00EE2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Default="008322DB" w:rsidP="00EE2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 w:rsidR="00746E06">
        <w:rPr>
          <w:rFonts w:ascii="Times New Roman" w:hAnsi="Times New Roman"/>
          <w:sz w:val="28"/>
          <w:szCs w:val="28"/>
        </w:rPr>
        <w:t>Липовского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EE23C3">
        <w:rPr>
          <w:rFonts w:ascii="Times New Roman" w:hAnsi="Times New Roman"/>
          <w:sz w:val="28"/>
          <w:szCs w:val="28"/>
        </w:rPr>
        <w:t xml:space="preserve"> поселения Рославльского района Смоленской области налог на имущество физических лиц (далее – налог).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>3. Установить налоговые ставки по налогу исходя из кадастровой стоимости объекта налогообложения в следующих размерах в отношении:</w:t>
      </w:r>
    </w:p>
    <w:p w:rsidR="008322DB" w:rsidRPr="00EE23C3" w:rsidRDefault="008322DB" w:rsidP="00EE23C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1) жилых домов, квартир, комнат, единых недвижимых комплексов, в состав которых входит хотя бы один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lastRenderedPageBreak/>
        <w:t>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33"/>
        <w:gridCol w:w="2195"/>
      </w:tblGrid>
      <w:tr w:rsidR="008322DB" w:rsidRPr="00076A9B" w:rsidTr="00333406">
        <w:trPr>
          <w:trHeight w:val="12"/>
        </w:trPr>
        <w:tc>
          <w:tcPr>
            <w:tcW w:w="7577" w:type="dxa"/>
          </w:tcPr>
          <w:p w:rsidR="008322DB" w:rsidRPr="00EE23C3" w:rsidRDefault="008322DB" w:rsidP="00EE23C3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218" w:type="dxa"/>
          </w:tcPr>
          <w:p w:rsidR="008322DB" w:rsidRPr="00EE23C3" w:rsidRDefault="008322DB" w:rsidP="00EE23C3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объекта налогообложения</w:t>
            </w:r>
          </w:p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До 2000000 (двух миллионов) </w:t>
            </w:r>
            <w:proofErr w:type="gramStart"/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рублей  включительно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0,1 процента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Свыше 2000000 (двух миллионов) рублей до 5000000 (пяти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0,15 процента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Свыше 5000000 (пяти миллионов) рублей до 10000000 (десяти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 2 процента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Свыше 10000000 (десяти миллионов) рублей до 300000000 (трехсот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0,3 процента</w:t>
            </w:r>
          </w:p>
        </w:tc>
      </w:tr>
    </w:tbl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          2) гаражей и </w:t>
      </w:r>
      <w:proofErr w:type="spellStart"/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машино</w:t>
      </w:r>
      <w:proofErr w:type="spellEnd"/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-мест - 0,1 процента кадастровой стоимости объекта </w:t>
      </w:r>
      <w:proofErr w:type="gramStart"/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налогообложения;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   </w:t>
      </w:r>
      <w:proofErr w:type="gramEnd"/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  3) объектов незавершенного строительства в случае, если проектируемым назначением таких объектов является жилой дом, - 0,1 процента кадастровой стоимости объекта налогообложения;</w:t>
      </w:r>
    </w:p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4) объектов налогообложения, включенных в перечень, определяемый в соответствии с пунктом 7 статьи 378.2 </w:t>
      </w:r>
      <w:hyperlink r:id="rId5" w:history="1">
        <w:r w:rsidRPr="0054066B">
          <w:rPr>
            <w:rFonts w:ascii="Times New Roman" w:hAnsi="Times New Roman"/>
            <w:color w:val="000000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54066B">
        <w:rPr>
          <w:rFonts w:ascii="Times New Roman" w:hAnsi="Times New Roman"/>
          <w:color w:val="2D2D2D"/>
          <w:sz w:val="28"/>
          <w:szCs w:val="28"/>
          <w:lang w:eastAsia="ru-RU"/>
        </w:rPr>
        <w:t>, в отношении объектов налог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ообложения, предусмотренных абзацем вторым пункта 10 статьи 378.2 </w:t>
      </w:r>
      <w:hyperlink r:id="rId6" w:history="1">
        <w:r w:rsidRPr="0054066B">
          <w:rPr>
            <w:rFonts w:ascii="Times New Roman" w:hAnsi="Times New Roman"/>
            <w:color w:val="000000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54066B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- 2,0 процента кадастровой стоимости об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ъекта налогообложения;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           5) объектов налогообложения, кадастровая стоимость каждого из которых превышает 300 миллионов рублей – 2,0 процента кадастровой стоимости объекта налогообложения;</w:t>
      </w:r>
    </w:p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6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) прочих объектов налогообложения - 0,5 процента кадастровой стоимости объекта налогообложения.</w:t>
      </w:r>
      <w:bookmarkStart w:id="0" w:name="Par0"/>
      <w:bookmarkEnd w:id="0"/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 xml:space="preserve">4. Налоговые льготы, установленные статьей 407 Налогового кодекса Российской </w:t>
      </w:r>
      <w:proofErr w:type="gramStart"/>
      <w:r w:rsidRPr="00EE23C3">
        <w:rPr>
          <w:rFonts w:ascii="Times New Roman" w:hAnsi="Times New Roman"/>
          <w:sz w:val="28"/>
          <w:szCs w:val="28"/>
        </w:rPr>
        <w:t>Федерации,  действуют</w:t>
      </w:r>
      <w:proofErr w:type="gramEnd"/>
      <w:r w:rsidRPr="00EE23C3">
        <w:rPr>
          <w:rFonts w:ascii="Times New Roman" w:hAnsi="Times New Roman"/>
          <w:sz w:val="28"/>
          <w:szCs w:val="28"/>
        </w:rPr>
        <w:t xml:space="preserve"> на территории  </w:t>
      </w:r>
      <w:r w:rsidR="00746E06">
        <w:rPr>
          <w:rFonts w:ascii="Times New Roman" w:hAnsi="Times New Roman"/>
          <w:sz w:val="28"/>
          <w:szCs w:val="28"/>
        </w:rPr>
        <w:t>Липовского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EE23C3">
        <w:rPr>
          <w:rFonts w:ascii="Times New Roman" w:hAnsi="Times New Roman"/>
          <w:sz w:val="28"/>
          <w:szCs w:val="28"/>
        </w:rPr>
        <w:t xml:space="preserve"> поселения Рославльского района Смоленской области.</w:t>
      </w:r>
    </w:p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>5. 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322DB" w:rsidRPr="005C4F6E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6E">
        <w:rPr>
          <w:rFonts w:ascii="Times New Roman" w:hAnsi="Times New Roman"/>
          <w:sz w:val="28"/>
          <w:szCs w:val="28"/>
          <w:lang w:eastAsia="ru-RU"/>
        </w:rPr>
        <w:t xml:space="preserve">- решение Совета депутатов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5C4F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21.11.2014 № </w:t>
      </w:r>
      <w:r w:rsidR="00B70DEA">
        <w:rPr>
          <w:rFonts w:ascii="Times New Roman" w:hAnsi="Times New Roman"/>
          <w:sz w:val="28"/>
          <w:szCs w:val="28"/>
          <w:lang w:eastAsia="ru-RU"/>
        </w:rPr>
        <w:t>35</w:t>
      </w:r>
      <w:r w:rsidRPr="005C4F6E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налоге на имущество физических лиц на территории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5C4F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области»;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8C4">
        <w:rPr>
          <w:rFonts w:ascii="Times New Roman" w:hAnsi="Times New Roman"/>
          <w:sz w:val="28"/>
          <w:szCs w:val="28"/>
          <w:lang w:eastAsia="ru-RU"/>
        </w:rPr>
        <w:t xml:space="preserve">- решение Совета депутатов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8C4">
        <w:rPr>
          <w:rFonts w:ascii="Times New Roman" w:hAnsi="Times New Roman"/>
          <w:sz w:val="28"/>
          <w:szCs w:val="28"/>
          <w:lang w:eastAsia="ru-RU"/>
        </w:rPr>
        <w:t>2</w:t>
      </w:r>
      <w:r w:rsidR="00B70DEA">
        <w:rPr>
          <w:rFonts w:ascii="Times New Roman" w:hAnsi="Times New Roman"/>
          <w:sz w:val="28"/>
          <w:szCs w:val="28"/>
          <w:lang w:eastAsia="ru-RU"/>
        </w:rPr>
        <w:t>3</w:t>
      </w:r>
      <w:r w:rsidRPr="00C528C4">
        <w:rPr>
          <w:rFonts w:ascii="Times New Roman" w:hAnsi="Times New Roman"/>
          <w:sz w:val="28"/>
          <w:szCs w:val="28"/>
          <w:lang w:eastAsia="ru-RU"/>
        </w:rPr>
        <w:t>.12.2015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0DEA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 налоге на имущество физических лиц на территории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746E06">
        <w:rPr>
          <w:rFonts w:ascii="Times New Roman" w:hAnsi="Times New Roman"/>
          <w:sz w:val="28"/>
          <w:szCs w:val="28"/>
          <w:lang w:eastAsia="ru-RU"/>
        </w:rPr>
        <w:t>Липовского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21.11.2014 № </w:t>
      </w:r>
      <w:r w:rsidR="00B70DEA">
        <w:rPr>
          <w:rFonts w:ascii="Times New Roman" w:hAnsi="Times New Roman"/>
          <w:sz w:val="28"/>
          <w:szCs w:val="28"/>
          <w:lang w:eastAsia="ru-RU"/>
        </w:rPr>
        <w:t>35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528C4">
        <w:rPr>
          <w:rFonts w:ascii="Times New Roman" w:hAnsi="Times New Roman"/>
          <w:sz w:val="28"/>
          <w:szCs w:val="28"/>
          <w:lang w:eastAsia="ru-RU"/>
        </w:rPr>
        <w:t>.</w:t>
      </w:r>
    </w:p>
    <w:p w:rsidR="008322DB" w:rsidRDefault="008322DB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6. Настоящее решение подлежит официальному опубликованию в газете «Рославльская правда».</w:t>
      </w:r>
    </w:p>
    <w:p w:rsidR="008322DB" w:rsidRPr="00EE23C3" w:rsidRDefault="008322DB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Настоящее решение вступает в силу с 1 января 2019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8322DB" w:rsidRPr="0054066B" w:rsidRDefault="008322DB" w:rsidP="0054066B">
      <w:pPr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5406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4066B">
        <w:rPr>
          <w:rFonts w:ascii="Times New Roman" w:hAnsi="Times New Roman"/>
          <w:sz w:val="28"/>
        </w:rPr>
        <w:t xml:space="preserve">Контроль за исполнением настоящего решения возложить на комиссию Совета депутатов </w:t>
      </w:r>
      <w:r w:rsidR="00746E06">
        <w:rPr>
          <w:rFonts w:ascii="Times New Roman" w:hAnsi="Times New Roman"/>
          <w:sz w:val="28"/>
        </w:rPr>
        <w:t>Липовского</w:t>
      </w:r>
      <w:r w:rsidRPr="0054066B">
        <w:rPr>
          <w:rFonts w:ascii="Times New Roman" w:hAnsi="Times New Roman"/>
          <w:sz w:val="28"/>
        </w:rPr>
        <w:t xml:space="preserve"> сельского поселения Рославльского района Смоленской </w:t>
      </w:r>
      <w:proofErr w:type="gramStart"/>
      <w:r w:rsidRPr="0054066B">
        <w:rPr>
          <w:rFonts w:ascii="Times New Roman" w:hAnsi="Times New Roman"/>
          <w:sz w:val="28"/>
        </w:rPr>
        <w:t>области  по</w:t>
      </w:r>
      <w:proofErr w:type="gramEnd"/>
      <w:r w:rsidRPr="0054066B">
        <w:rPr>
          <w:rFonts w:ascii="Times New Roman" w:hAnsi="Times New Roman"/>
          <w:sz w:val="28"/>
        </w:rPr>
        <w:t xml:space="preserve"> экономическим вопросам, бюджету, налогу и финансам </w:t>
      </w:r>
      <w:r w:rsidR="00746E06">
        <w:rPr>
          <w:rFonts w:ascii="Times New Roman" w:hAnsi="Times New Roman"/>
          <w:sz w:val="28"/>
        </w:rPr>
        <w:t>Липовского</w:t>
      </w:r>
      <w:r w:rsidRPr="0054066B">
        <w:rPr>
          <w:rFonts w:ascii="Times New Roman" w:hAnsi="Times New Roman"/>
          <w:sz w:val="28"/>
        </w:rPr>
        <w:t xml:space="preserve"> сельского поселения Рославльского района Смоленской области  (</w:t>
      </w:r>
      <w:proofErr w:type="spellStart"/>
      <w:r w:rsidR="00B70DEA">
        <w:rPr>
          <w:rFonts w:ascii="Times New Roman" w:hAnsi="Times New Roman"/>
          <w:sz w:val="28"/>
        </w:rPr>
        <w:t>И.В.Шилина</w:t>
      </w:r>
      <w:proofErr w:type="spellEnd"/>
      <w:r w:rsidRPr="0054066B">
        <w:rPr>
          <w:rFonts w:ascii="Times New Roman" w:hAnsi="Times New Roman"/>
          <w:sz w:val="28"/>
        </w:rPr>
        <w:t>).</w:t>
      </w:r>
    </w:p>
    <w:p w:rsidR="008322DB" w:rsidRPr="00EE23C3" w:rsidRDefault="008322DB" w:rsidP="00EE2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322DB" w:rsidRPr="00EE23C3" w:rsidRDefault="00746E06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Липовского</w:t>
      </w:r>
      <w:r w:rsidR="008322DB" w:rsidRPr="00EE23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322DB" w:rsidRPr="00EE23C3" w:rsidRDefault="008322DB" w:rsidP="0054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 xml:space="preserve">Рославльского района Смоленской области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</w:t>
      </w:r>
      <w:r w:rsidR="00746E06">
        <w:rPr>
          <w:rFonts w:ascii="Times New Roman" w:hAnsi="Times New Roman"/>
          <w:sz w:val="28"/>
          <w:szCs w:val="28"/>
          <w:lang w:eastAsia="ru-RU"/>
        </w:rPr>
        <w:t>А.Курденкова</w:t>
      </w:r>
      <w:proofErr w:type="spellEnd"/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322DB" w:rsidRPr="00EE23C3" w:rsidSect="00EE23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22"/>
    <w:rsid w:val="00076A9B"/>
    <w:rsid w:val="002A54D0"/>
    <w:rsid w:val="00333406"/>
    <w:rsid w:val="00454623"/>
    <w:rsid w:val="0054066B"/>
    <w:rsid w:val="00575F22"/>
    <w:rsid w:val="005C4F6E"/>
    <w:rsid w:val="00682F96"/>
    <w:rsid w:val="00743008"/>
    <w:rsid w:val="00746E06"/>
    <w:rsid w:val="008322DB"/>
    <w:rsid w:val="00A527D7"/>
    <w:rsid w:val="00A640CD"/>
    <w:rsid w:val="00B50676"/>
    <w:rsid w:val="00B70DEA"/>
    <w:rsid w:val="00C528C4"/>
    <w:rsid w:val="00CD7F69"/>
    <w:rsid w:val="00EE23C3"/>
    <w:rsid w:val="00F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DFDED3C-9D69-4757-ACE9-E84274B1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4</cp:revision>
  <cp:lastPrinted>2018-11-06T13:38:00Z</cp:lastPrinted>
  <dcterms:created xsi:type="dcterms:W3CDTF">2023-11-27T09:17:00Z</dcterms:created>
  <dcterms:modified xsi:type="dcterms:W3CDTF">2023-11-27T09:25:00Z</dcterms:modified>
</cp:coreProperties>
</file>